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2681" w14:textId="77777777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 w:hint="eastAsia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52731800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6D4E3E8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037E1DF" w14:textId="77777777" w:rsidR="005C6C7D" w:rsidRDefault="00426C6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李源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L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i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 xml:space="preserve"> Yuan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AE0F064" w14:textId="1FD45A87" w:rsidR="005C6C7D" w:rsidRDefault="00070C3C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宋体" w:eastAsia="宋体" w:cs="宋体" w:hint="eastAsia"/>
                <w:noProof/>
                <w:sz w:val="20"/>
                <w:szCs w:val="20"/>
              </w:rPr>
              <w:drawing>
                <wp:inline distT="0" distB="0" distL="0" distR="0" wp14:anchorId="32B6E098" wp14:editId="30A1BFD7">
                  <wp:extent cx="819150" cy="1186180"/>
                  <wp:effectExtent l="0" t="0" r="0" b="0"/>
                  <wp:docPr id="173379652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18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 w14:paraId="476C2EE7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6C9297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40757B" w14:textId="77777777" w:rsidR="005C6C7D" w:rsidRDefault="00426C6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E7EC96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279715A5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5029CA" w14:textId="77777777"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5FE401" w14:textId="77777777" w:rsidR="005C6C7D" w:rsidRDefault="00426C6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1988. 8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BAC7FD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0057A9" w14:paraId="5363FF65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262186" w14:textId="77777777"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E0EF90" w14:textId="0AEACDE5" w:rsidR="000057A9" w:rsidRDefault="00B7154A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建筑学院风景园林系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535800" w14:textId="77777777" w:rsidR="000057A9" w:rsidRDefault="000057A9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6DEBF0C6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49A83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C76714" w14:textId="77777777" w:rsidR="005C6C7D" w:rsidRDefault="005C6C7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CA31F9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2B960089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80DB8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72D722" w14:textId="15433BDF" w:rsidR="005C6C7D" w:rsidRDefault="00A75626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76175"/>
                <w:sz w:val="14"/>
                <w:szCs w:val="14"/>
              </w:rPr>
              <w:t>y</w:t>
            </w:r>
            <w:r w:rsidR="00B7154A">
              <w:rPr>
                <w:rFonts w:ascii="微软雅黑" w:eastAsia="微软雅黑" w:hAnsi="微软雅黑" w:cs="微软雅黑" w:hint="eastAsia"/>
                <w:b/>
                <w:color w:val="376175"/>
                <w:sz w:val="14"/>
                <w:szCs w:val="14"/>
              </w:rPr>
              <w:t>li</w:t>
            </w:r>
            <w:r w:rsidR="00896C0F">
              <w:rPr>
                <w:rFonts w:ascii="微软雅黑" w:eastAsia="微软雅黑" w:hAnsi="微软雅黑" w:cs="微软雅黑" w:hint="eastAsia"/>
                <w:b/>
                <w:color w:val="376175"/>
                <w:sz w:val="14"/>
                <w:szCs w:val="14"/>
              </w:rPr>
              <w:t>9</w:t>
            </w:r>
            <w:r w:rsidR="00B7154A">
              <w:rPr>
                <w:rFonts w:ascii="微软雅黑" w:eastAsia="微软雅黑" w:hAnsi="微软雅黑" w:cs="微软雅黑" w:hint="eastAsia"/>
                <w:b/>
                <w:color w:val="376175"/>
                <w:sz w:val="14"/>
                <w:szCs w:val="14"/>
              </w:rPr>
              <w:t>@outlook.com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B40E51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090812F8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9F49B5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DB7899" w14:textId="77777777" w:rsidR="005C6C7D" w:rsidRDefault="005C6C7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AE693D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5D328345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15CC645A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 w14:paraId="1B99D8BC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5E2DF35" w14:textId="75F37F1C" w:rsidR="005C6C7D" w:rsidRDefault="00BE09BB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 w:rsidRPr="00BE09BB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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</w:t>
            </w:r>
            <w:r w:rsidRPr="00BE09B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文化遗产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环境</w:t>
            </w:r>
            <w:r w:rsidRPr="00BE09B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的公众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感知</w:t>
            </w:r>
            <w:r w:rsidRPr="00BE09B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与</w:t>
            </w:r>
            <w:r w:rsidR="00613B4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计算</w:t>
            </w:r>
          </w:p>
        </w:tc>
      </w:tr>
      <w:tr w:rsidR="005C6C7D" w14:paraId="75B8B20F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1C6E1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 w14:paraId="4A54FEF7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282FA4A" w14:textId="77777777" w:rsidR="00070C3C" w:rsidRPr="00070C3C" w:rsidRDefault="00070C3C" w:rsidP="00070C3C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（1）2007年9月-2011年6月，中国农业大学，园林专业，农学学士</w:t>
            </w:r>
          </w:p>
          <w:p w14:paraId="35C8AE0B" w14:textId="77777777" w:rsidR="00070C3C" w:rsidRPr="00070C3C" w:rsidRDefault="00070C3C" w:rsidP="00070C3C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（2）2011年9月-2015年6月，中国农业大学，园林植物与观赏园艺专业，农学硕士</w:t>
            </w:r>
          </w:p>
          <w:p w14:paraId="6EC9A892" w14:textId="77777777" w:rsidR="00070C3C" w:rsidRPr="00070C3C" w:rsidRDefault="00070C3C" w:rsidP="00070C3C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（3）2015年9月-2021年6月，中国农业大学，园林植物与观赏园艺专业，农学博士</w:t>
            </w:r>
          </w:p>
          <w:p w14:paraId="4993E8C1" w14:textId="49FC5DFD" w:rsidR="005C6C7D" w:rsidRPr="0016090C" w:rsidRDefault="00070C3C" w:rsidP="00070C3C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（4）2018年10月-2019年10月，意大利罗马大学，建筑学院建筑历史、设计与修复系国家公派（CSC）联合培养博士生</w:t>
            </w:r>
          </w:p>
        </w:tc>
      </w:tr>
      <w:tr w:rsidR="005C6C7D" w14:paraId="03F2EB53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C6352E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 w14:paraId="1BFF458B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93A78D1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73399D19" w14:textId="77777777" w:rsidR="005C6C7D" w:rsidRPr="003838EA" w:rsidRDefault="00BE09BB" w:rsidP="00BE09BB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 w:rsidRPr="003838E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021.9</w:t>
            </w: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至今 天津城建大学建筑学院 讲师</w:t>
            </w:r>
          </w:p>
          <w:p w14:paraId="044CCA9C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  <w:p w14:paraId="11058656" w14:textId="77777777" w:rsidR="005C6C7D" w:rsidRPr="00BE09BB" w:rsidRDefault="00BE09BB" w:rsidP="00BE09BB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BE09B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2018.10-2019.10 意大利罗马大学建筑学院建筑历史、设计与修复系国家公派（CSC）联合培养</w:t>
            </w:r>
          </w:p>
        </w:tc>
      </w:tr>
      <w:tr w:rsidR="005C6C7D" w14:paraId="614BE623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1BB718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79C206A7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7C8C56D" w14:textId="77777777" w:rsidR="003A2B61" w:rsidRDefault="003A2B61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【本科生课程】</w:t>
            </w:r>
          </w:p>
          <w:p w14:paraId="2C4AB1FA" w14:textId="77777777" w:rsidR="005C6C7D" w:rsidRDefault="003A2B61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设计基础、风景园林规划设计4、</w:t>
            </w:r>
            <w:r w:rsidRPr="003A2B6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景观感知与场地调研方法</w:t>
            </w:r>
            <w:r w:rsidR="00BE09B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、专业外语、数字设计</w:t>
            </w:r>
          </w:p>
          <w:p w14:paraId="489A9352" w14:textId="77777777" w:rsidR="003A2B61" w:rsidRDefault="003A2B61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研究生课程】</w:t>
            </w:r>
          </w:p>
          <w:p w14:paraId="6D127FE9" w14:textId="77777777" w:rsidR="005C6C7D" w:rsidRPr="003A2B61" w:rsidRDefault="003A2B61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风景园林规划与设计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、人居环境研究方法论与应用</w:t>
            </w:r>
          </w:p>
        </w:tc>
      </w:tr>
      <w:tr w:rsidR="005C6C7D" w14:paraId="6AECCBB1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861BFF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C6C7D" w14:paraId="1035E2AE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94F3F23" w14:textId="77777777" w:rsidR="00DA2BDA" w:rsidRPr="00DA2BDA" w:rsidRDefault="003A2B61" w:rsidP="003838EA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FF0000"/>
                <w:kern w:val="0"/>
                <w:sz w:val="15"/>
                <w:szCs w:val="15"/>
              </w:rPr>
            </w:pP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中国风景园林学会会员、中国地理学会会员</w:t>
            </w:r>
          </w:p>
        </w:tc>
      </w:tr>
      <w:tr w:rsidR="005C6C7D" w14:paraId="5C8F91AA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45F331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 w14:paraId="04C860FF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AD41222" w14:textId="77777777" w:rsidR="005C6C7D" w:rsidRDefault="003838EA" w:rsidP="003838EA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2016 </w:t>
            </w:r>
            <w:r w:rsidR="0057092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获</w:t>
            </w: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中国风景园林教育大会优秀论文奖（全国高等学校风景园林学科专业指导委员会颁发）</w:t>
            </w:r>
          </w:p>
        </w:tc>
      </w:tr>
      <w:tr w:rsidR="005C6C7D" w14:paraId="5AA51609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3DC46C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C6C7D" w14:paraId="1EFB6058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4B36F5" w14:textId="77777777" w:rsidR="005C6C7D" w:rsidRDefault="00324940" w:rsidP="003838EA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6F020E9B" w14:textId="044B857B" w:rsidR="00070C3C" w:rsidRPr="00070C3C" w:rsidRDefault="00070C3C" w:rsidP="00070C3C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(1) 天津市教育委员会, 人文社科一般项目, 2024SK057, 基于多</w:t>
            </w:r>
            <w:proofErr w:type="gramStart"/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源数据</w:t>
            </w:r>
            <w:proofErr w:type="gramEnd"/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的大运河天津段滨水绿地文化服务价值识别与感知评价, 2025-01 至今, 在</w:t>
            </w:r>
            <w:proofErr w:type="gramStart"/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</w:t>
            </w:r>
            <w:proofErr w:type="gramEnd"/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主持</w:t>
            </w:r>
          </w:p>
          <w:p w14:paraId="74618FAF" w14:textId="1E2ECBC2" w:rsidR="00070C3C" w:rsidRPr="00070C3C" w:rsidRDefault="00070C3C" w:rsidP="00070C3C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(2) 天津市教育委员会, 人文社科一般项目, 2024SK058, 文化韧性视角下的天津运河文化遗产“焕活”机制与路径研究, 2025-01 至今, 在</w:t>
            </w:r>
            <w:proofErr w:type="gramStart"/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</w:t>
            </w:r>
            <w:proofErr w:type="gramEnd"/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参与</w:t>
            </w:r>
          </w:p>
          <w:p w14:paraId="61159698" w14:textId="38FEB33C" w:rsidR="00070C3C" w:rsidRPr="00070C3C" w:rsidRDefault="00070C3C" w:rsidP="00070C3C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(3) 天津市哲学社会科学工作办公室, 一般项目, TJGL24-012, 中国式现代化背景下天津运河文化遗产阐释方法与展示路径研究, 2024-12 至今, 在</w:t>
            </w:r>
            <w:proofErr w:type="gramStart"/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</w:t>
            </w:r>
            <w:proofErr w:type="gramEnd"/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参与</w:t>
            </w:r>
          </w:p>
          <w:p w14:paraId="591DC000" w14:textId="1D78A92C" w:rsidR="00070C3C" w:rsidRPr="00070C3C" w:rsidRDefault="00070C3C" w:rsidP="00070C3C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(4) 天津市教育委员会, 人文社科一般项目, 2022SK088, 基于冬夏热舒适阈值的天津海河滨水休憩空间优化策略研究, 2023-01 至今, 在</w:t>
            </w:r>
            <w:proofErr w:type="gramStart"/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</w:t>
            </w:r>
            <w:proofErr w:type="gramEnd"/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参与</w:t>
            </w:r>
          </w:p>
          <w:p w14:paraId="028806C3" w14:textId="65E857AE" w:rsidR="005C6C7D" w:rsidRDefault="00070C3C" w:rsidP="00070C3C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(5) 天津市艺术科学规划办公室, 一般项目, A22039, 大运河（天津段）文化遗产可持续发展策略研究,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2021-11 至今, 在</w:t>
            </w:r>
            <w:proofErr w:type="gramStart"/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</w:t>
            </w:r>
            <w:proofErr w:type="gramEnd"/>
            <w:r w:rsidRPr="00070C3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参与</w:t>
            </w:r>
          </w:p>
          <w:p w14:paraId="5AB7E3FA" w14:textId="77777777" w:rsidR="00075C29" w:rsidRDefault="00075C29" w:rsidP="00070C3C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37780B55" w14:textId="77777777" w:rsidR="005C6C7D" w:rsidRDefault="00324940" w:rsidP="003838EA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135780F8" w14:textId="77777777" w:rsidR="003838EA" w:rsidRDefault="003838EA" w:rsidP="003838EA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</w:tc>
      </w:tr>
      <w:tr w:rsidR="005C6C7D" w14:paraId="57611C76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CABD6ED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5C6C7D" w14:paraId="19E9BF10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8DB6F4" w14:textId="77777777" w:rsidR="003838EA" w:rsidRDefault="00324940" w:rsidP="003838EA">
            <w:pPr>
              <w:widowControl/>
              <w:adjustRightInd w:val="0"/>
              <w:snapToGrid w:val="0"/>
              <w:spacing w:line="200" w:lineRule="exact"/>
              <w:ind w:firstLineChars="200"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 w:rsid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2EB0918C" w14:textId="77777777" w:rsidR="003838EA" w:rsidRPr="003838EA" w:rsidRDefault="003838EA" w:rsidP="003838EA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</w:t>
            </w: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] </w:t>
            </w:r>
            <w:proofErr w:type="gramStart"/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霍艳虹</w:t>
            </w:r>
            <w:proofErr w:type="gramEnd"/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,李源.城市运河文化景观的公众意象感知——以扬州为例[J].风景园林,2023,30(02):89-96.</w:t>
            </w:r>
          </w:p>
          <w:p w14:paraId="46CC78B5" w14:textId="77777777" w:rsidR="003838EA" w:rsidRPr="003838EA" w:rsidRDefault="003838EA" w:rsidP="003838EA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</w:t>
            </w: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 李源,李险峰.北京园林寺庙景观的公众认知与体验评价研究——以潭</w:t>
            </w:r>
            <w:proofErr w:type="gramStart"/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柘</w:t>
            </w:r>
            <w:proofErr w:type="gramEnd"/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寺、八大处、大觉寺和红螺寺为例. 中国园林.2020,36(12):95-100.</w:t>
            </w:r>
          </w:p>
          <w:p w14:paraId="2D3F9138" w14:textId="77777777" w:rsidR="003838EA" w:rsidRPr="003838EA" w:rsidRDefault="003838EA" w:rsidP="003838EA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3</w:t>
            </w: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 李源,李险峰.风景意象的“诗化”再现——明代北京佛寺园林的景观认知[J].风景园林,2022,29(04):128-133.</w:t>
            </w:r>
          </w:p>
          <w:p w14:paraId="7AB2E689" w14:textId="77777777" w:rsidR="003838EA" w:rsidRPr="003838EA" w:rsidRDefault="003838EA" w:rsidP="003838EA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[4] 李源,李险峰.北京中心城区宗教遗产空间的现代转型与景观表征——以汉传佛教文物保护单位为例[J].华中建筑,2022,40(01):95-99.</w:t>
            </w:r>
          </w:p>
          <w:p w14:paraId="3C4303C4" w14:textId="77777777" w:rsidR="003838EA" w:rsidRPr="003838EA" w:rsidRDefault="003838EA" w:rsidP="003838EA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3838E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[5] Li Y, Li X F. Assessment of Online Public Opinion on Historical Gardens[C</w:t>
            </w:r>
            <w:proofErr w:type="gramStart"/>
            <w:r w:rsidRPr="003838E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].Proceedings</w:t>
            </w:r>
            <w:proofErr w:type="gramEnd"/>
            <w:r w:rsidRPr="003838EA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of 55th IFLA Conference. Singapore, 2018:1487-1495.</w:t>
            </w:r>
          </w:p>
          <w:p w14:paraId="71F4428D" w14:textId="77777777" w:rsidR="003838EA" w:rsidRPr="003838EA" w:rsidRDefault="003838EA" w:rsidP="003838EA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[6] 李源, 李险峰. 情感与记忆的转置——大众视角下历史园林的媒体表征[C]. 中国建筑学会建筑与文化委员会2017年国际学术讨论会论文集.苏州, 2017:73-77.</w:t>
            </w:r>
          </w:p>
          <w:p w14:paraId="42AA1EF2" w14:textId="77777777" w:rsidR="005C6C7D" w:rsidRPr="003838EA" w:rsidRDefault="003838EA" w:rsidP="003838EA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[7] 李源,李险峰. 权力视角下的北京汉传佛寺空间</w:t>
            </w:r>
            <w:proofErr w:type="gramStart"/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演变再</w:t>
            </w:r>
            <w:proofErr w:type="gramEnd"/>
            <w:r w:rsidRPr="003838E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审视[C].中国风景园林学会2017年会议论文集.西安, 2017(10):16-21.</w:t>
            </w:r>
          </w:p>
          <w:p w14:paraId="13721058" w14:textId="77777777" w:rsidR="005C6C7D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</w:tc>
      </w:tr>
    </w:tbl>
    <w:p w14:paraId="37537A0B" w14:textId="77777777" w:rsidR="005C6C7D" w:rsidRDefault="005C6C7D"/>
    <w:sectPr w:rsidR="005C6C7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D3554" w14:textId="77777777" w:rsidR="007E5EF5" w:rsidRDefault="007E5EF5" w:rsidP="00426C61">
      <w:r>
        <w:separator/>
      </w:r>
    </w:p>
  </w:endnote>
  <w:endnote w:type="continuationSeparator" w:id="0">
    <w:p w14:paraId="5D0F1BF7" w14:textId="77777777" w:rsidR="007E5EF5" w:rsidRDefault="007E5EF5" w:rsidP="0042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0A9A4" w14:textId="77777777" w:rsidR="007E5EF5" w:rsidRDefault="007E5EF5" w:rsidP="00426C61">
      <w:r>
        <w:separator/>
      </w:r>
    </w:p>
  </w:footnote>
  <w:footnote w:type="continuationSeparator" w:id="0">
    <w:p w14:paraId="6637755A" w14:textId="77777777" w:rsidR="007E5EF5" w:rsidRDefault="007E5EF5" w:rsidP="00426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4427E"/>
    <w:rsid w:val="00070C3C"/>
    <w:rsid w:val="00075C29"/>
    <w:rsid w:val="00157F0C"/>
    <w:rsid w:val="0016090C"/>
    <w:rsid w:val="001C7E3E"/>
    <w:rsid w:val="001F295B"/>
    <w:rsid w:val="00236398"/>
    <w:rsid w:val="002436C1"/>
    <w:rsid w:val="00262D44"/>
    <w:rsid w:val="002F2E2E"/>
    <w:rsid w:val="00324940"/>
    <w:rsid w:val="00327589"/>
    <w:rsid w:val="0035026F"/>
    <w:rsid w:val="003838EA"/>
    <w:rsid w:val="003A2B61"/>
    <w:rsid w:val="003D1F5D"/>
    <w:rsid w:val="00426C61"/>
    <w:rsid w:val="00570925"/>
    <w:rsid w:val="005C6C7D"/>
    <w:rsid w:val="0060227C"/>
    <w:rsid w:val="00613B4A"/>
    <w:rsid w:val="006226D7"/>
    <w:rsid w:val="00627EAE"/>
    <w:rsid w:val="00634A25"/>
    <w:rsid w:val="006B68C1"/>
    <w:rsid w:val="00781C7B"/>
    <w:rsid w:val="007B0AE8"/>
    <w:rsid w:val="007B7885"/>
    <w:rsid w:val="007E5EF5"/>
    <w:rsid w:val="00876016"/>
    <w:rsid w:val="00896C0F"/>
    <w:rsid w:val="008B1C99"/>
    <w:rsid w:val="008C6531"/>
    <w:rsid w:val="008F0791"/>
    <w:rsid w:val="00954697"/>
    <w:rsid w:val="009677A4"/>
    <w:rsid w:val="009A4937"/>
    <w:rsid w:val="00A75626"/>
    <w:rsid w:val="00AB1553"/>
    <w:rsid w:val="00AC55DE"/>
    <w:rsid w:val="00AF6AB1"/>
    <w:rsid w:val="00B23BBA"/>
    <w:rsid w:val="00B45D2A"/>
    <w:rsid w:val="00B7154A"/>
    <w:rsid w:val="00BE09BB"/>
    <w:rsid w:val="00C159C9"/>
    <w:rsid w:val="00C840DD"/>
    <w:rsid w:val="00DA2BDA"/>
    <w:rsid w:val="00DD6CA0"/>
    <w:rsid w:val="00E04D0E"/>
    <w:rsid w:val="00E34AD8"/>
    <w:rsid w:val="00E842D1"/>
    <w:rsid w:val="00EE2E06"/>
    <w:rsid w:val="00EF042C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C20FAA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1443</Characters>
  <Application>Microsoft Office Word</Application>
  <DocSecurity>0</DocSecurity>
  <Lines>12</Lines>
  <Paragraphs>3</Paragraphs>
  <ScaleCrop>false</ScaleCrop>
  <Company>xtz.kuaimaxt.cn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李源</cp:lastModifiedBy>
  <cp:revision>2</cp:revision>
  <dcterms:created xsi:type="dcterms:W3CDTF">2025-06-30T04:48:00Z</dcterms:created>
  <dcterms:modified xsi:type="dcterms:W3CDTF">2025-06-30T04:48:00Z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